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C250" w14:textId="2B8AC949" w:rsidR="00730C7F" w:rsidRDefault="00730C7F" w:rsidP="00730C7F">
      <w:pPr>
        <w:pStyle w:val="Titolo1"/>
      </w:pPr>
      <w:bookmarkStart w:id="0" w:name="_Toc197348246"/>
      <w:r>
        <w:t>La scheda di virtuosità</w:t>
      </w:r>
      <w:bookmarkEnd w:id="0"/>
    </w:p>
    <w:tbl>
      <w:tblPr>
        <w:tblW w:w="14267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2030"/>
        <w:gridCol w:w="681"/>
        <w:gridCol w:w="2914"/>
        <w:gridCol w:w="2030"/>
        <w:gridCol w:w="2360"/>
      </w:tblGrid>
      <w:tr w:rsidR="00730C7F" w:rsidRPr="009A0420" w14:paraId="29B784DB" w14:textId="77777777" w:rsidTr="00B031FE">
        <w:trPr>
          <w:trHeight w:val="368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3C5D8E"/>
              <w:right w:val="single" w:sz="6" w:space="0" w:color="auto"/>
            </w:tcBorders>
            <w:shd w:val="clear" w:color="auto" w:fill="0F476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4451" w14:textId="77777777" w:rsidR="00730C7F" w:rsidRPr="009A0420" w:rsidRDefault="00730C7F" w:rsidP="00B75A4C">
            <w:pPr>
              <w:pStyle w:val="Corpotestotabellaintest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Indicatore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4" w:space="0" w:color="3C5D8E"/>
              <w:right w:val="single" w:sz="6" w:space="0" w:color="auto"/>
            </w:tcBorders>
            <w:shd w:val="clear" w:color="auto" w:fill="0F476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9552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3C5D8E"/>
              <w:right w:val="single" w:sz="6" w:space="0" w:color="auto"/>
            </w:tcBorders>
            <w:shd w:val="clear" w:color="auto" w:fill="0F476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E1F9E" w14:textId="77777777" w:rsidR="00730C7F" w:rsidRPr="009A0420" w:rsidRDefault="00730C7F" w:rsidP="00B75A4C">
            <w:pPr>
              <w:pStyle w:val="Corpotestotabellaintest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Punti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4" w:space="0" w:color="3C5D8E"/>
              <w:right w:val="single" w:sz="6" w:space="0" w:color="auto"/>
            </w:tcBorders>
            <w:shd w:val="clear" w:color="auto" w:fill="0F476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FA60C" w14:textId="77777777" w:rsidR="00730C7F" w:rsidRPr="009A0420" w:rsidRDefault="00730C7F" w:rsidP="00B75A4C">
            <w:pPr>
              <w:pStyle w:val="Corpotestotabellaintest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 xml:space="preserve">Strumento di verifica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4" w:space="0" w:color="3C5D8E"/>
              <w:right w:val="single" w:sz="6" w:space="0" w:color="auto"/>
            </w:tcBorders>
            <w:shd w:val="clear" w:color="auto" w:fill="0F476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F64D" w14:textId="77777777" w:rsidR="00730C7F" w:rsidRPr="009A0420" w:rsidRDefault="00730C7F" w:rsidP="00B75A4C">
            <w:pPr>
              <w:pStyle w:val="Corpotestotabellaintest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Indicazione estremi o link dell’atto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4" w:space="0" w:color="3C5D8E"/>
              <w:right w:val="single" w:sz="6" w:space="0" w:color="auto"/>
            </w:tcBorders>
            <w:shd w:val="clear" w:color="auto" w:fill="0F476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29694" w14:textId="77777777" w:rsidR="00730C7F" w:rsidRPr="009A0420" w:rsidRDefault="00730C7F" w:rsidP="00B75A4C">
            <w:pPr>
              <w:pStyle w:val="Corpotestotabellaintest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Barrare con “</w:t>
            </w:r>
            <w:proofErr w:type="gramStart"/>
            <w:r w:rsidRPr="009A0420">
              <w:rPr>
                <w:rFonts w:ascii="Barlow" w:hAnsi="Barlow"/>
              </w:rPr>
              <w:t>X“ se</w:t>
            </w:r>
            <w:proofErr w:type="gramEnd"/>
            <w:r w:rsidRPr="009A0420">
              <w:rPr>
                <w:rFonts w:ascii="Barlow" w:hAnsi="Barlow"/>
              </w:rPr>
              <w:t xml:space="preserve"> si verifica la condizione</w:t>
            </w:r>
          </w:p>
        </w:tc>
      </w:tr>
      <w:tr w:rsidR="00730C7F" w:rsidRPr="009A0420" w14:paraId="1604761E" w14:textId="77777777" w:rsidTr="00B031FE">
        <w:trPr>
          <w:trHeight w:val="707"/>
        </w:trPr>
        <w:tc>
          <w:tcPr>
            <w:tcW w:w="4252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09E47" w14:textId="77777777" w:rsidR="00730C7F" w:rsidRPr="009A0420" w:rsidRDefault="00730C7F" w:rsidP="00B75A4C">
            <w:pPr>
              <w:pStyle w:val="Corpotestotabella"/>
              <w:ind w:left="227" w:hanging="227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 xml:space="preserve">a. </w:t>
            </w:r>
            <w:r w:rsidRPr="009A0420">
              <w:rPr>
                <w:rFonts w:ascii="Barlow" w:hAnsi="Barlow"/>
              </w:rPr>
              <w:tab/>
            </w:r>
            <w:r w:rsidRPr="009A0420">
              <w:rPr>
                <w:rStyle w:val="grassetto"/>
                <w:rFonts w:ascii="Barlow" w:hAnsi="Barlow"/>
              </w:rPr>
              <w:t>l’Unione ha un direttore</w:t>
            </w:r>
            <w:r w:rsidRPr="009A0420">
              <w:rPr>
                <w:rFonts w:ascii="Barlow" w:hAnsi="Barlow"/>
              </w:rPr>
              <w:t xml:space="preserve"> o una figura apicale di coordinamento formalmente incaricata dell’attuazione degli indirizzi degli organi politici dell’Unione e del coordinamento della gestione 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4BFAA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SI/NO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CD9A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5%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6117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Atto di nomina o di incarico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68886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03600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2560D1D0" w14:textId="77777777" w:rsidTr="00B031FE">
        <w:trPr>
          <w:trHeight w:val="707"/>
        </w:trPr>
        <w:tc>
          <w:tcPr>
            <w:tcW w:w="4252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427C0" w14:textId="77777777" w:rsidR="00730C7F" w:rsidRPr="009A0420" w:rsidRDefault="00730C7F" w:rsidP="00B75A4C">
            <w:pPr>
              <w:pStyle w:val="Corpotestotabella-rientro4mm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 xml:space="preserve">b. </w:t>
            </w:r>
            <w:r w:rsidRPr="009A0420">
              <w:rPr>
                <w:rFonts w:ascii="Barlow" w:hAnsi="Barlow"/>
              </w:rPr>
              <w:tab/>
              <w:t xml:space="preserve">l’Unione ha approvato insieme ai Comuni </w:t>
            </w:r>
            <w:r w:rsidRPr="009A0420">
              <w:rPr>
                <w:rStyle w:val="grassetto"/>
                <w:rFonts w:ascii="Barlow" w:hAnsi="Barlow"/>
              </w:rPr>
              <w:t>un unico</w:t>
            </w:r>
            <w:r w:rsidRPr="009A0420">
              <w:rPr>
                <w:rFonts w:ascii="Barlow" w:hAnsi="Barlow"/>
              </w:rPr>
              <w:t xml:space="preserve"> PIAO o ha coordinato la gestione delle sezioni II e III del PIAO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5DC33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SI/NO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D5623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3%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4CBD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Atto - Piano Unico tra Unioni e Comuni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C834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728B0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435BC96E" w14:textId="77777777" w:rsidTr="00B031FE">
        <w:trPr>
          <w:trHeight w:val="707"/>
        </w:trPr>
        <w:tc>
          <w:tcPr>
            <w:tcW w:w="4252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E55E" w14:textId="6E858162" w:rsidR="00730C7F" w:rsidRPr="009A0420" w:rsidRDefault="00730C7F" w:rsidP="00B75A4C">
            <w:pPr>
              <w:pStyle w:val="Corpotestotabella-rientro4mm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 xml:space="preserve">c. </w:t>
            </w:r>
            <w:r w:rsidRPr="009A0420">
              <w:rPr>
                <w:rFonts w:ascii="Barlow" w:hAnsi="Barlow"/>
              </w:rPr>
              <w:tab/>
              <w:t xml:space="preserve">l’Unione ha </w:t>
            </w:r>
            <w:r w:rsidR="00173329">
              <w:rPr>
                <w:rFonts w:ascii="Barlow" w:hAnsi="Barlow"/>
              </w:rPr>
              <w:t>partecipato a tavoli di coordinamento</w:t>
            </w:r>
            <w:r w:rsidR="009E11F3">
              <w:rPr>
                <w:rFonts w:ascii="Barlow" w:hAnsi="Barlow"/>
              </w:rPr>
              <w:t xml:space="preserve"> istituiti dalla Provincia di riferimento o dalla Città metropolitana di Bologna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50198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SI/NO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F1C5" w14:textId="225579D9" w:rsidR="00730C7F" w:rsidRPr="009A0420" w:rsidRDefault="009E11F3" w:rsidP="00B75A4C">
            <w:pPr>
              <w:pStyle w:val="Corpotestotabella"/>
              <w:rPr>
                <w:rFonts w:ascii="Barlow" w:hAnsi="Barlow"/>
              </w:rPr>
            </w:pPr>
            <w:r>
              <w:rPr>
                <w:rStyle w:val="grassetto"/>
                <w:rFonts w:ascii="Barlow" w:hAnsi="Barlow"/>
              </w:rPr>
              <w:t>6</w:t>
            </w:r>
            <w:r w:rsidR="00730C7F" w:rsidRPr="009A0420">
              <w:rPr>
                <w:rStyle w:val="grassetto"/>
                <w:rFonts w:ascii="Barlow" w:hAnsi="Barlow"/>
              </w:rPr>
              <w:t>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EC54" w14:textId="15F37F8F" w:rsidR="00730C7F" w:rsidRPr="009A0420" w:rsidRDefault="003C596F" w:rsidP="00B75A4C">
            <w:pPr>
              <w:pStyle w:val="Corpotestotabella"/>
              <w:rPr>
                <w:rFonts w:ascii="Barlow" w:hAnsi="Barlow"/>
              </w:rPr>
            </w:pPr>
            <w:r w:rsidRPr="003C596F">
              <w:rPr>
                <w:rFonts w:ascii="Barlow" w:hAnsi="Barlow"/>
              </w:rPr>
              <w:t>Atto di istituzione del tavolo di lavoro, documenti attestanti la partecipazione alle sedute e relativi output prodotti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4395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988A3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2608A07D" w14:textId="77777777" w:rsidTr="00B031FE">
        <w:trPr>
          <w:trHeight w:val="720"/>
        </w:trPr>
        <w:tc>
          <w:tcPr>
            <w:tcW w:w="4252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503C" w14:textId="77777777" w:rsidR="00730C7F" w:rsidRPr="009A0420" w:rsidRDefault="00730C7F" w:rsidP="00B75A4C">
            <w:pPr>
              <w:pStyle w:val="Corpotestotabella-rientro4mm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 xml:space="preserve">d. </w:t>
            </w:r>
            <w:r w:rsidRPr="009A0420">
              <w:rPr>
                <w:rFonts w:ascii="Barlow" w:hAnsi="Barlow"/>
              </w:rPr>
              <w:tab/>
              <w:t xml:space="preserve">l’Unione ha adottato annualmente </w:t>
            </w:r>
            <w:r w:rsidRPr="009A0420">
              <w:rPr>
                <w:rStyle w:val="grassetto"/>
                <w:rFonts w:ascii="Barlow" w:hAnsi="Barlow"/>
              </w:rPr>
              <w:t>atti di programmazione integrata e coordinata dei bilanci, del DUP e della performance</w:t>
            </w:r>
            <w:r w:rsidRPr="009A0420">
              <w:rPr>
                <w:rFonts w:ascii="Barlow" w:hAnsi="Barlow"/>
              </w:rPr>
              <w:t xml:space="preserve"> dell’Unione e dei Comuni 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1EE61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SI/NO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2DE3F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3%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4FD03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Atti di programmazione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4C09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0B6FC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73FF9A48" w14:textId="77777777" w:rsidTr="00B031FE">
        <w:trPr>
          <w:trHeight w:val="290"/>
        </w:trPr>
        <w:tc>
          <w:tcPr>
            <w:tcW w:w="4252" w:type="dxa"/>
            <w:vMerge w:val="restart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1A511" w14:textId="77777777" w:rsidR="00730C7F" w:rsidRPr="009A0420" w:rsidRDefault="00730C7F" w:rsidP="00B75A4C">
            <w:pPr>
              <w:pStyle w:val="Corpotestotabella-rientro4mm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 xml:space="preserve">e. </w:t>
            </w:r>
            <w:r w:rsidRPr="009A0420">
              <w:rPr>
                <w:rFonts w:ascii="Barlow" w:hAnsi="Barlow"/>
              </w:rPr>
              <w:tab/>
            </w:r>
            <w:r w:rsidRPr="009A0420">
              <w:rPr>
                <w:rFonts w:ascii="Barlow" w:hAnsi="Barlow"/>
                <w:b/>
              </w:rPr>
              <w:t>l’Unione ha raggiunto una soglia minima dell’indice di effettività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45DB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30%&lt;effettività&lt;49%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2C3BD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1%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C1A0D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Da ultimo rendiconto approvato e disponibile su BDAP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0503E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34D77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4B4EC0D8" w14:textId="77777777" w:rsidTr="00B031FE">
        <w:trPr>
          <w:trHeight w:val="60"/>
        </w:trPr>
        <w:tc>
          <w:tcPr>
            <w:tcW w:w="4252" w:type="dxa"/>
            <w:vMerge/>
          </w:tcPr>
          <w:p w14:paraId="2FCEA402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B147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50%&lt;effettività&lt;69%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BAE62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2%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CB48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Da ultimo rendiconto approvato e disponibile su BDAP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C4F4A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AA451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7241829C" w14:textId="77777777" w:rsidTr="00B031FE">
        <w:trPr>
          <w:trHeight w:val="60"/>
        </w:trPr>
        <w:tc>
          <w:tcPr>
            <w:tcW w:w="4252" w:type="dxa"/>
            <w:vMerge/>
          </w:tcPr>
          <w:p w14:paraId="2748FD68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E3794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70%&lt;Effettività&lt;100%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F678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3%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A1AEE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Da ultimo rendiconto approvato e disponibile su BDAP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0549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F9FC7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40F04F3D" w14:textId="77777777" w:rsidTr="00B031FE">
        <w:trPr>
          <w:trHeight w:val="819"/>
        </w:trPr>
        <w:tc>
          <w:tcPr>
            <w:tcW w:w="4252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9B66" w14:textId="77777777" w:rsidR="00730C7F" w:rsidRPr="009A0420" w:rsidRDefault="00730C7F" w:rsidP="00B75A4C">
            <w:pPr>
              <w:pStyle w:val="Corpotestotabella-rientro4mm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 xml:space="preserve">f. </w:t>
            </w:r>
            <w:r w:rsidRPr="009A0420">
              <w:rPr>
                <w:rFonts w:ascii="Barlow" w:hAnsi="Barlow"/>
              </w:rPr>
              <w:tab/>
              <w:t xml:space="preserve">l’Unione ha sottoscritto </w:t>
            </w:r>
            <w:r w:rsidRPr="009A0420">
              <w:rPr>
                <w:rStyle w:val="grassetto"/>
                <w:rFonts w:ascii="Barlow" w:hAnsi="Barlow"/>
              </w:rPr>
              <w:t>progettualità complesse</w:t>
            </w:r>
            <w:r w:rsidRPr="009A0420">
              <w:rPr>
                <w:rFonts w:ascii="Barlow" w:hAnsi="Barlow"/>
              </w:rPr>
              <w:t xml:space="preserve"> relative allo </w:t>
            </w:r>
            <w:r w:rsidRPr="009A0420">
              <w:rPr>
                <w:rStyle w:val="grassetto"/>
                <w:rFonts w:ascii="Barlow" w:hAnsi="Barlow"/>
              </w:rPr>
              <w:t>sviluppo del territorio</w:t>
            </w:r>
            <w:r w:rsidRPr="009A0420">
              <w:rPr>
                <w:rFonts w:ascii="Barlow" w:hAnsi="Barlow"/>
              </w:rPr>
              <w:t xml:space="preserve">, anche in relazione a risorse europee, con il coinvolgimento degli stakeholders 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744A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SI/NO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2BBA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1%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E4753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Atto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234D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E2D65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4BAADB8B" w14:textId="77777777" w:rsidTr="00B031FE">
        <w:trPr>
          <w:trHeight w:val="706"/>
        </w:trPr>
        <w:tc>
          <w:tcPr>
            <w:tcW w:w="4252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E7F0" w14:textId="129F1D18" w:rsidR="00730C7F" w:rsidRPr="009A0420" w:rsidRDefault="00B031FE" w:rsidP="00B75A4C">
            <w:pPr>
              <w:pStyle w:val="Corpotestotabella-rientro4mm"/>
              <w:rPr>
                <w:rFonts w:ascii="Barlow" w:hAnsi="Barlow"/>
              </w:rPr>
            </w:pPr>
            <w:r>
              <w:rPr>
                <w:rFonts w:ascii="Barlow" w:hAnsi="Barlow"/>
              </w:rPr>
              <w:lastRenderedPageBreak/>
              <w:t>g</w:t>
            </w:r>
            <w:r w:rsidR="00730C7F" w:rsidRPr="009A0420">
              <w:rPr>
                <w:rFonts w:ascii="Barlow" w:hAnsi="Barlow"/>
              </w:rPr>
              <w:t>.</w:t>
            </w:r>
            <w:r w:rsidR="00730C7F" w:rsidRPr="009A0420">
              <w:rPr>
                <w:rFonts w:ascii="Barlow" w:hAnsi="Barlow"/>
              </w:rPr>
              <w:tab/>
              <w:t xml:space="preserve">l’Unione ha aumentato, nel triennio precedente la scadenza del bando, </w:t>
            </w:r>
            <w:r w:rsidR="00730C7F" w:rsidRPr="009A0420">
              <w:rPr>
                <w:rStyle w:val="grassetto"/>
                <w:rFonts w:ascii="Barlow" w:hAnsi="Barlow"/>
              </w:rPr>
              <w:t>i conferimenti di funzioni, anche non previste dal PRT 2021-2023</w:t>
            </w:r>
            <w:r w:rsidR="00730C7F" w:rsidRPr="009A0420">
              <w:rPr>
                <w:rFonts w:ascii="Barlow" w:hAnsi="Barlow"/>
              </w:rPr>
              <w:t xml:space="preserve"> (es. cultura, turismo, ecc.); non sono sufficienti parti soltanto delle funzioni finanziate dal PRT; specificare le funzioni: ….....................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9C025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 w:cs="Cambria Math"/>
              </w:rPr>
              <w:t>≥</w:t>
            </w:r>
            <w:r w:rsidRPr="009A0420">
              <w:rPr>
                <w:rStyle w:val="grassetto"/>
                <w:rFonts w:ascii="Barlow" w:hAnsi="Barlow"/>
              </w:rPr>
              <w:t>2 funzioni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431A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1%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196E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Convenzioni di conferimento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7AC3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2509A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69CC5409" w14:textId="77777777" w:rsidTr="00B031FE">
        <w:trPr>
          <w:trHeight w:val="670"/>
        </w:trPr>
        <w:tc>
          <w:tcPr>
            <w:tcW w:w="4252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534CA" w14:textId="22C90FED" w:rsidR="00730C7F" w:rsidRPr="009A0420" w:rsidRDefault="00EA3524" w:rsidP="00B75A4C">
            <w:pPr>
              <w:pStyle w:val="Corpotestotabella-rientro4mm"/>
              <w:rPr>
                <w:rFonts w:ascii="Barlow" w:hAnsi="Barlow"/>
              </w:rPr>
            </w:pPr>
            <w:r>
              <w:rPr>
                <w:rFonts w:ascii="Barlow" w:hAnsi="Barlow"/>
              </w:rPr>
              <w:t>h.</w:t>
            </w:r>
            <w:r w:rsidR="00730C7F" w:rsidRPr="009A0420">
              <w:rPr>
                <w:rFonts w:ascii="Barlow" w:hAnsi="Barlow"/>
              </w:rPr>
              <w:t xml:space="preserve"> </w:t>
            </w:r>
            <w:r w:rsidR="00730C7F" w:rsidRPr="009A0420">
              <w:rPr>
                <w:rFonts w:ascii="Barlow" w:hAnsi="Barlow"/>
              </w:rPr>
              <w:tab/>
            </w:r>
            <w:r w:rsidR="00730C7F" w:rsidRPr="009A0420">
              <w:rPr>
                <w:rStyle w:val="grassetto"/>
                <w:rFonts w:ascii="Barlow" w:hAnsi="Barlow"/>
              </w:rPr>
              <w:t>l’Unione ha avviato</w:t>
            </w:r>
            <w:r w:rsidR="00730C7F" w:rsidRPr="009A0420">
              <w:rPr>
                <w:rFonts w:ascii="Barlow" w:hAnsi="Barlow"/>
              </w:rPr>
              <w:t xml:space="preserve"> il percorso di attivazione di </w:t>
            </w:r>
            <w:r w:rsidR="00730C7F" w:rsidRPr="009A0420">
              <w:rPr>
                <w:rStyle w:val="grassetto"/>
                <w:rFonts w:ascii="Barlow" w:hAnsi="Barlow"/>
              </w:rPr>
              <w:t>progetti per la giustizia digitale</w:t>
            </w:r>
            <w:r w:rsidR="00730C7F" w:rsidRPr="009A0420">
              <w:rPr>
                <w:rFonts w:ascii="Barlow" w:hAnsi="Barlow"/>
              </w:rPr>
              <w:t xml:space="preserve"> vicina ai cittadini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2CA8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Sì/No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0BDD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1%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E72A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Sottoscrizione accordo/protocollo d’intesa interistituzionale con Regione e Tribunale di riferimento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913D8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B1A4A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33FF8FF0" w14:textId="77777777" w:rsidTr="00B031FE">
        <w:trPr>
          <w:trHeight w:val="597"/>
        </w:trPr>
        <w:tc>
          <w:tcPr>
            <w:tcW w:w="4252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20265" w14:textId="341C3B48" w:rsidR="00730C7F" w:rsidRPr="009A0420" w:rsidRDefault="002E0DB9" w:rsidP="00B75A4C">
            <w:pPr>
              <w:pStyle w:val="Corpotestotabella-rientro4mm"/>
              <w:rPr>
                <w:rFonts w:ascii="Barlow" w:hAnsi="Barlow"/>
              </w:rPr>
            </w:pPr>
            <w:r>
              <w:rPr>
                <w:rFonts w:ascii="Barlow" w:hAnsi="Barlow"/>
              </w:rPr>
              <w:t>i</w:t>
            </w:r>
            <w:r w:rsidR="00730C7F" w:rsidRPr="009A0420">
              <w:rPr>
                <w:rFonts w:ascii="Barlow" w:hAnsi="Barlow"/>
              </w:rPr>
              <w:t xml:space="preserve">. Lo Statuto dell’Unione prevede che la carica di </w:t>
            </w:r>
            <w:r w:rsidR="00730C7F" w:rsidRPr="009A0420">
              <w:rPr>
                <w:rStyle w:val="grassetto"/>
                <w:rFonts w:ascii="Barlow" w:hAnsi="Barlow"/>
              </w:rPr>
              <w:t xml:space="preserve">Presidente duri almeno </w:t>
            </w:r>
            <w:proofErr w:type="gramStart"/>
            <w:r w:rsidR="00730C7F" w:rsidRPr="009A0420">
              <w:rPr>
                <w:rStyle w:val="grassetto"/>
                <w:rFonts w:ascii="Barlow" w:hAnsi="Barlow"/>
              </w:rPr>
              <w:t>3</w:t>
            </w:r>
            <w:proofErr w:type="gramEnd"/>
            <w:r w:rsidR="00730C7F" w:rsidRPr="009A0420">
              <w:rPr>
                <w:rStyle w:val="grassetto"/>
                <w:rFonts w:ascii="Barlow" w:hAnsi="Barlow"/>
              </w:rPr>
              <w:t xml:space="preserve"> annualità 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2D3D4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Sì/No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53EAA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2%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1C0A5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Statuto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85F52" w14:textId="77777777" w:rsidR="00730C7F" w:rsidRPr="009A0420" w:rsidRDefault="00730C7F" w:rsidP="00B75A4C">
            <w:pPr>
              <w:pStyle w:val="Nessunostileparagrafo"/>
              <w:spacing w:line="240" w:lineRule="auto"/>
              <w:textAlignment w:val="auto"/>
              <w:rPr>
                <w:rFonts w:ascii="Barlow" w:hAnsi="Barlow" w:cs="Times New Roman"/>
                <w:color w:val="auto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D9D7D" w14:textId="77777777" w:rsidR="00730C7F" w:rsidRPr="009A0420" w:rsidRDefault="00730C7F" w:rsidP="00B75A4C">
            <w:pPr>
              <w:pStyle w:val="Corpotestotabella"/>
              <w:jc w:val="center"/>
              <w:rPr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  <w:tr w:rsidR="00730C7F" w:rsidRPr="009A0420" w14:paraId="6F99E348" w14:textId="77777777" w:rsidTr="00B031FE">
        <w:trPr>
          <w:trHeight w:val="300"/>
        </w:trPr>
        <w:tc>
          <w:tcPr>
            <w:tcW w:w="4252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1C79F" w14:textId="38A6B57C" w:rsidR="00730C7F" w:rsidRPr="009A0420" w:rsidRDefault="002E0DB9" w:rsidP="00B75A4C">
            <w:pPr>
              <w:pStyle w:val="Corpotestotabella-rientro4mm"/>
              <w:rPr>
                <w:rFonts w:ascii="Barlow" w:hAnsi="Barlow"/>
              </w:rPr>
            </w:pPr>
            <w:r>
              <w:rPr>
                <w:rFonts w:ascii="Barlow" w:hAnsi="Barlow"/>
              </w:rPr>
              <w:t>l</w:t>
            </w:r>
            <w:r w:rsidR="00730C7F" w:rsidRPr="009A0420">
              <w:rPr>
                <w:rFonts w:ascii="Barlow" w:hAnsi="Barlow"/>
              </w:rPr>
              <w:t xml:space="preserve">. </w:t>
            </w:r>
            <w:r w:rsidR="00730C7F" w:rsidRPr="009A0420">
              <w:rPr>
                <w:rFonts w:ascii="Barlow" w:hAnsi="Barlow"/>
                <w:b/>
              </w:rPr>
              <w:t xml:space="preserve">Attestazione </w:t>
            </w:r>
            <w:r w:rsidR="00730C7F" w:rsidRPr="009A0420">
              <w:rPr>
                <w:rFonts w:ascii="Barlow" w:hAnsi="Barlow"/>
                <w:b/>
                <w:bCs/>
              </w:rPr>
              <w:t>della</w:t>
            </w:r>
            <w:r w:rsidR="00730C7F" w:rsidRPr="009A0420">
              <w:rPr>
                <w:rFonts w:ascii="Barlow" w:hAnsi="Barlow"/>
                <w:b/>
              </w:rPr>
              <w:t xml:space="preserve"> riconciliazione dei debiti e crediti</w:t>
            </w:r>
            <w:r w:rsidR="00730C7F" w:rsidRPr="009A0420">
              <w:rPr>
                <w:rFonts w:ascii="Barlow" w:hAnsi="Barlow"/>
              </w:rPr>
              <w:t xml:space="preserve"> tra Unione di comuni e comuni aderenti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0C01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Sì/No</w:t>
            </w:r>
          </w:p>
        </w:tc>
        <w:tc>
          <w:tcPr>
            <w:tcW w:w="681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7C47" w14:textId="3AA39B6E" w:rsidR="00730C7F" w:rsidRPr="009A0420" w:rsidRDefault="00730C7F" w:rsidP="00B75A4C">
            <w:pPr>
              <w:pStyle w:val="CorpotestotabellaDX"/>
              <w:jc w:val="left"/>
              <w:rPr>
                <w:rStyle w:val="grassetto"/>
                <w:rFonts w:ascii="Barlow" w:hAnsi="Barlow"/>
              </w:rPr>
            </w:pPr>
            <w:r w:rsidRPr="009A0420">
              <w:rPr>
                <w:rStyle w:val="grassetto"/>
                <w:rFonts w:ascii="Barlow" w:hAnsi="Barlow"/>
              </w:rPr>
              <w:t>1</w:t>
            </w:r>
            <w:r w:rsidR="002E0DB9">
              <w:rPr>
                <w:rStyle w:val="grassetto"/>
                <w:rFonts w:ascii="Barlow" w:hAnsi="Barlow"/>
              </w:rPr>
              <w:t>5</w:t>
            </w:r>
            <w:r w:rsidRPr="009A0420">
              <w:rPr>
                <w:rStyle w:val="grassetto"/>
                <w:rFonts w:ascii="Barlow" w:hAnsi="Barlow"/>
              </w:rPr>
              <w:t>%</w:t>
            </w:r>
          </w:p>
        </w:tc>
        <w:tc>
          <w:tcPr>
            <w:tcW w:w="2914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5149" w14:textId="77777777" w:rsidR="00730C7F" w:rsidRPr="009A0420" w:rsidRDefault="00730C7F" w:rsidP="00B75A4C">
            <w:pPr>
              <w:pStyle w:val="Corpotestotabella"/>
              <w:rPr>
                <w:rFonts w:ascii="Barlow" w:hAnsi="Barlow"/>
              </w:rPr>
            </w:pPr>
            <w:r w:rsidRPr="009A0420">
              <w:rPr>
                <w:rFonts w:ascii="Barlow" w:hAnsi="Barlow"/>
              </w:rPr>
              <w:t>Attestazione</w:t>
            </w:r>
          </w:p>
        </w:tc>
        <w:tc>
          <w:tcPr>
            <w:tcW w:w="203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C3EC6" w14:textId="77777777" w:rsidR="00730C7F" w:rsidRPr="009A0420" w:rsidRDefault="00730C7F" w:rsidP="00B75A4C">
            <w:pPr>
              <w:pStyle w:val="Nessunostileparagrafo"/>
              <w:spacing w:line="240" w:lineRule="auto"/>
              <w:rPr>
                <w:rFonts w:ascii="Barlow" w:hAnsi="Barlow"/>
              </w:rPr>
            </w:pPr>
          </w:p>
        </w:tc>
        <w:tc>
          <w:tcPr>
            <w:tcW w:w="2360" w:type="dxa"/>
            <w:tcBorders>
              <w:top w:val="single" w:sz="4" w:space="0" w:color="3C5D8E"/>
              <w:left w:val="single" w:sz="6" w:space="0" w:color="auto"/>
              <w:bottom w:val="single" w:sz="4" w:space="0" w:color="3C5D8E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1294A" w14:textId="77777777" w:rsidR="00730C7F" w:rsidRPr="009A0420" w:rsidRDefault="00730C7F" w:rsidP="00B75A4C">
            <w:pPr>
              <w:pStyle w:val="Corpotestotabella"/>
              <w:jc w:val="center"/>
              <w:rPr>
                <w:rStyle w:val="quadrato"/>
                <w:rFonts w:ascii="Barlow" w:hAnsi="Barlow"/>
              </w:rPr>
            </w:pPr>
            <w:r w:rsidRPr="009A0420">
              <w:rPr>
                <w:rStyle w:val="quadrato"/>
              </w:rPr>
              <w:t>☐</w:t>
            </w:r>
          </w:p>
        </w:tc>
      </w:tr>
    </w:tbl>
    <w:p w14:paraId="7DB13478" w14:textId="77777777" w:rsidR="00730C7F" w:rsidRDefault="00730C7F" w:rsidP="00730C7F">
      <w:pPr>
        <w:pStyle w:val="Corpotesto"/>
      </w:pPr>
    </w:p>
    <w:p w14:paraId="5202DF00" w14:textId="77777777" w:rsidR="009A49F4" w:rsidRDefault="009A49F4"/>
    <w:sectPr w:rsidR="009A49F4" w:rsidSect="00730C7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B7"/>
    <w:rsid w:val="00003651"/>
    <w:rsid w:val="00173329"/>
    <w:rsid w:val="001B7B75"/>
    <w:rsid w:val="002E0DB9"/>
    <w:rsid w:val="002E1BEB"/>
    <w:rsid w:val="00313DB7"/>
    <w:rsid w:val="003C596F"/>
    <w:rsid w:val="003E0003"/>
    <w:rsid w:val="003E5BA1"/>
    <w:rsid w:val="00432A1D"/>
    <w:rsid w:val="00646FFB"/>
    <w:rsid w:val="0065619D"/>
    <w:rsid w:val="006D47E3"/>
    <w:rsid w:val="00730C7F"/>
    <w:rsid w:val="009A49F4"/>
    <w:rsid w:val="009C6D6A"/>
    <w:rsid w:val="009E11F3"/>
    <w:rsid w:val="00AE25DA"/>
    <w:rsid w:val="00B031FE"/>
    <w:rsid w:val="00D75458"/>
    <w:rsid w:val="00EA3524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AF65"/>
  <w15:chartTrackingRefBased/>
  <w15:docId w15:val="{FA445F34-EAD7-4D7B-B20A-FF7AC5DB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0C7F"/>
    <w:rPr>
      <w:rFonts w:ascii="Aptos" w:eastAsia="Times New Roman" w:hAnsi="Aptos" w:cs="Times New Roman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13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3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3D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3D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3D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3D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3D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3D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3D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3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3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3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3D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3D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3D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3D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3D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3D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3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1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3D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3DB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3D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3DB7"/>
    <w:pPr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13D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3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3D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3DB7"/>
    <w:rPr>
      <w:b/>
      <w:bCs/>
      <w:smallCaps/>
      <w:color w:val="0F4761" w:themeColor="accent1" w:themeShade="BF"/>
      <w:spacing w:val="5"/>
    </w:rPr>
  </w:style>
  <w:style w:type="paragraph" w:customStyle="1" w:styleId="Nessunostileparagrafo">
    <w:name w:val="[Nessuno stile paragrafo]"/>
    <w:rsid w:val="00730C7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lang w:eastAsia="it-IT"/>
      <w14:ligatures w14:val="none"/>
    </w:rPr>
  </w:style>
  <w:style w:type="paragraph" w:styleId="Corpotesto">
    <w:name w:val="Body Text"/>
    <w:basedOn w:val="Nessunostileparagrafo"/>
    <w:link w:val="CorpotestoCarattere"/>
    <w:uiPriority w:val="99"/>
    <w:rsid w:val="00730C7F"/>
    <w:pPr>
      <w:spacing w:after="100" w:line="280" w:lineRule="atLeast"/>
      <w:jc w:val="both"/>
    </w:pPr>
    <w:rPr>
      <w:rFonts w:ascii="Raleway" w:hAnsi="Raleway" w:cs="Raleway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30C7F"/>
    <w:rPr>
      <w:rFonts w:ascii="Raleway" w:eastAsia="Times New Roman" w:hAnsi="Raleway" w:cs="Raleway"/>
      <w:color w:val="000000"/>
      <w:kern w:val="0"/>
      <w:sz w:val="21"/>
      <w:szCs w:val="21"/>
      <w:lang w:eastAsia="it-IT"/>
      <w14:ligatures w14:val="none"/>
    </w:rPr>
  </w:style>
  <w:style w:type="paragraph" w:customStyle="1" w:styleId="Corpotestotabella">
    <w:name w:val="Corpo testo tabella"/>
    <w:basedOn w:val="Corpotesto"/>
    <w:uiPriority w:val="99"/>
    <w:rsid w:val="00730C7F"/>
    <w:pPr>
      <w:suppressAutoHyphens/>
      <w:spacing w:after="57" w:line="220" w:lineRule="atLeast"/>
      <w:jc w:val="left"/>
    </w:pPr>
    <w:rPr>
      <w:sz w:val="18"/>
      <w:szCs w:val="18"/>
    </w:rPr>
  </w:style>
  <w:style w:type="paragraph" w:customStyle="1" w:styleId="Corpotestotabellaintest">
    <w:name w:val="Corpo testo tabella intest"/>
    <w:basedOn w:val="Corpotestotabella"/>
    <w:uiPriority w:val="99"/>
    <w:rsid w:val="00730C7F"/>
    <w:rPr>
      <w:b/>
      <w:bCs/>
      <w:color w:val="FFFFFF"/>
    </w:rPr>
  </w:style>
  <w:style w:type="paragraph" w:customStyle="1" w:styleId="CorpotestotabellaDX">
    <w:name w:val="Corpo testo tabella DX"/>
    <w:basedOn w:val="Corpotesto"/>
    <w:uiPriority w:val="99"/>
    <w:rsid w:val="00730C7F"/>
    <w:pPr>
      <w:suppressAutoHyphens/>
      <w:spacing w:after="57" w:line="220" w:lineRule="atLeast"/>
      <w:jc w:val="right"/>
    </w:pPr>
    <w:rPr>
      <w:sz w:val="18"/>
      <w:szCs w:val="18"/>
    </w:rPr>
  </w:style>
  <w:style w:type="paragraph" w:customStyle="1" w:styleId="Corpotestotabella-rientro4mm">
    <w:name w:val="Corpo testo tabella - rientro 4mm"/>
    <w:basedOn w:val="Corpotestotabella"/>
    <w:uiPriority w:val="99"/>
    <w:rsid w:val="00730C7F"/>
    <w:pPr>
      <w:ind w:left="227" w:hanging="227"/>
    </w:pPr>
  </w:style>
  <w:style w:type="character" w:customStyle="1" w:styleId="grassetto">
    <w:name w:val="grassetto"/>
    <w:uiPriority w:val="99"/>
    <w:rsid w:val="00730C7F"/>
    <w:rPr>
      <w:b/>
      <w:bCs/>
    </w:rPr>
  </w:style>
  <w:style w:type="character" w:customStyle="1" w:styleId="quadrato">
    <w:name w:val="quadrato"/>
    <w:uiPriority w:val="99"/>
    <w:rsid w:val="00730C7F"/>
    <w:rPr>
      <w:rFonts w:ascii="Segoe UI Symbol" w:hAnsi="Segoe UI Symbol" w:cs="Segoe UI Symbo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9704a-108b-4170-a031-f324bd9667da" xsi:nil="true"/>
    <lcf76f155ced4ddcb4097134ff3c332f xmlns="815a182e-5811-482c-bfd9-ac006fc98d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30781EEE82C24E886CD249FD9F4EDA" ma:contentTypeVersion="14" ma:contentTypeDescription="Creare un nuovo documento." ma:contentTypeScope="" ma:versionID="98bb616cf14b0595f15bc0d4f20ee445">
  <xsd:schema xmlns:xsd="http://www.w3.org/2001/XMLSchema" xmlns:xs="http://www.w3.org/2001/XMLSchema" xmlns:p="http://schemas.microsoft.com/office/2006/metadata/properties" xmlns:ns2="815a182e-5811-482c-bfd9-ac006fc98d86" xmlns:ns3="0019704a-108b-4170-a031-f324bd9667da" targetNamespace="http://schemas.microsoft.com/office/2006/metadata/properties" ma:root="true" ma:fieldsID="35f7f8807858e22c6eed4d90cf9e8546" ns2:_="" ns3:_="">
    <xsd:import namespace="815a182e-5811-482c-bfd9-ac006fc98d86"/>
    <xsd:import namespace="0019704a-108b-4170-a031-f324bd966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182e-5811-482c-bfd9-ac006fc9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9704a-108b-4170-a031-f324bd9667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b14083-6049-4e6f-8a55-12ea2a6fefa0}" ma:internalName="TaxCatchAll" ma:showField="CatchAllData" ma:web="0019704a-108b-4170-a031-f324bd96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81D57-BC07-4978-90DC-DA943C726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9D08B-E34B-4E0B-B0ED-0D3113EB34ED}">
  <ds:schemaRefs>
    <ds:schemaRef ds:uri="http://schemas.microsoft.com/office/2006/metadata/properties"/>
    <ds:schemaRef ds:uri="http://schemas.microsoft.com/office/infopath/2007/PartnerControls"/>
    <ds:schemaRef ds:uri="0019704a-108b-4170-a031-f324bd9667da"/>
    <ds:schemaRef ds:uri="815a182e-5811-482c-bfd9-ac006fc98d86"/>
  </ds:schemaRefs>
</ds:datastoreItem>
</file>

<file path=customXml/itemProps3.xml><?xml version="1.0" encoding="utf-8"?>
<ds:datastoreItem xmlns:ds="http://schemas.openxmlformats.org/officeDocument/2006/customXml" ds:itemID="{8A2F47A9-63C2-482D-B2BF-8D0974C63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182e-5811-482c-bfd9-ac006fc98d86"/>
    <ds:schemaRef ds:uri="0019704a-108b-4170-a031-f324bd96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338</Words>
  <Characters>1921</Characters>
  <Application>Microsoft Office Word</Application>
  <DocSecurity>0</DocSecurity>
  <Lines>113</Lines>
  <Paragraphs>64</Paragraphs>
  <ScaleCrop>false</ScaleCrop>
  <Company>Regione Emilia-Romagna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Giorgi Irene</dc:creator>
  <cp:keywords/>
  <dc:description/>
  <cp:lastModifiedBy>De Giorgi Irene</cp:lastModifiedBy>
  <cp:revision>15</cp:revision>
  <dcterms:created xsi:type="dcterms:W3CDTF">2025-05-05T13:43:00Z</dcterms:created>
  <dcterms:modified xsi:type="dcterms:W3CDTF">2026-04-20T13:53:00Z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0x0101003830781EEE82C24E886CD249FD9F4EDA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